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9778112"/>
      <w:r>
        <w:rPr>
          <w:rFonts w:hint="eastAsia"/>
        </w:rPr>
        <w:t>苏州大学文正学院精品课程建设管理办法</w:t>
      </w:r>
      <w:bookmarkEnd w:id="0"/>
    </w:p>
    <w:p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苏大文正教〔2017〕47号</w:t>
      </w:r>
    </w:p>
    <w:p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4"/>
          <w:szCs w:val="24"/>
        </w:rPr>
      </w:pPr>
    </w:p>
    <w:p>
      <w:pPr>
        <w:widowControl/>
        <w:spacing w:line="440" w:lineRule="exact"/>
        <w:ind w:firstLine="570"/>
        <w:rPr>
          <w:rFonts w:ascii="仿宋_GB2312" w:hAnsi="仿宋" w:eastAsia="仿宋_GB2312" w:cs="仿宋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kern w:val="0"/>
          <w:sz w:val="24"/>
          <w:szCs w:val="24"/>
        </w:rPr>
        <w:t>课程建设是专业建设的核心内容，也是衡量学校教学水平的重要标志之一。为进一步加强课程建设，深化教学改革，提高教学质量与办学品质，开发和建设一批符合应用型人才培养的精品课程，特制定本办法。</w:t>
      </w:r>
    </w:p>
    <w:p>
      <w:pPr>
        <w:widowControl/>
        <w:spacing w:line="440" w:lineRule="exact"/>
        <w:ind w:firstLine="482" w:firstLineChars="200"/>
        <w:jc w:val="center"/>
        <w:rPr>
          <w:rFonts w:ascii="仿宋_GB2312" w:hAnsi="仿宋" w:eastAsia="仿宋_GB2312" w:cs="仿宋"/>
          <w:b/>
          <w:bCs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  <w:szCs w:val="24"/>
        </w:rPr>
        <w:t>第一章　总则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　　第一条</w:t>
      </w:r>
      <w:r>
        <w:rPr>
          <w:rFonts w:hint="eastAsia" w:ascii="仿宋_GB2312" w:hAnsi="仿宋" w:eastAsia="仿宋_GB2312" w:cs="仿宋"/>
          <w:sz w:val="24"/>
          <w:szCs w:val="24"/>
        </w:rPr>
        <w:t>　指导思想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　　课程建设是推动我院学科专业内涵发展的基础工程。为全面推进课程建设，坚持以“强化基础、突出重点、注重运用”为指导思想，进一步提高课程质量和课程管理水平，加快课程教学规范化、科学化、现代化进程，为培养具有创新能力的高素质本科人才奠定坚实基础。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　　第二条</w:t>
      </w:r>
      <w:r>
        <w:rPr>
          <w:rFonts w:hint="eastAsia" w:ascii="仿宋_GB2312" w:hAnsi="仿宋" w:eastAsia="仿宋_GB2312" w:cs="仿宋"/>
          <w:sz w:val="24"/>
          <w:szCs w:val="24"/>
        </w:rPr>
        <w:t>　建设原则</w:t>
      </w:r>
    </w:p>
    <w:p>
      <w:pPr>
        <w:spacing w:line="440" w:lineRule="exact"/>
        <w:ind w:firstLine="56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学院精品课程建设遵循“分类指导、科学布局、突出重点、择优建设、共建共享”的原则，充分考虑我院办学定位、办学特色、专业布局，积极构建适应人才培养需求和经济社会发展需要的精品课程体系。</w:t>
      </w:r>
    </w:p>
    <w:p>
      <w:pPr>
        <w:spacing w:line="440" w:lineRule="exact"/>
        <w:ind w:firstLine="56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第三条</w:t>
      </w:r>
      <w:r>
        <w:rPr>
          <w:rFonts w:hint="eastAsia" w:ascii="仿宋_GB2312" w:hAnsi="仿宋" w:eastAsia="仿宋_GB2312" w:cs="仿宋"/>
          <w:sz w:val="24"/>
          <w:szCs w:val="24"/>
        </w:rPr>
        <w:t>　建设目标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（一）通过开展教学研究，总结经验，形成有较高水平的教学成果；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（二）师资队伍的职称结构、年龄结构合理，课程负责人具有较高学术水平和教学水平，且课程主讲教师不少于2名；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（三）具有完整、齐全的教学文件，包括教学大纲、教学进度表、教学辅助资料（包括教案、习题库、试题库、课件等），选用合适的教材并指定教学参考书，以及加强网络教学资源建设；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（四）课程教学内容改革取得一定的成效，能及时把学科最新发展成果和教改科研成果引入教学；</w:t>
      </w:r>
    </w:p>
    <w:p>
      <w:pPr>
        <w:pStyle w:val="6"/>
        <w:spacing w:line="440" w:lineRule="exact"/>
        <w:ind w:firstLine="0" w:firstLineChars="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　　（五）加强实践教学环节，重视支撑条件建设，形成课程应用性特色；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（六）课程教学团队在省级以上刊物发表论文不少于2篇，至少有一项校级及以上获奖或主持过校级及以上教学改革项目。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</w:p>
    <w:p>
      <w:pPr>
        <w:spacing w:line="440" w:lineRule="exact"/>
        <w:jc w:val="center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第二章　管理机构与职能</w:t>
      </w:r>
    </w:p>
    <w:p>
      <w:pPr>
        <w:spacing w:line="440" w:lineRule="exact"/>
        <w:ind w:firstLine="482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第四条</w:t>
      </w:r>
      <w:r>
        <w:rPr>
          <w:rFonts w:hint="eastAsia" w:ascii="仿宋_GB2312" w:hAnsi="仿宋" w:eastAsia="仿宋_GB2312" w:cs="仿宋"/>
          <w:sz w:val="24"/>
          <w:szCs w:val="24"/>
        </w:rPr>
        <w:t>　教务处是负责课程建设管理的职能部门，其主要职责：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（一）立项评审与评估验收；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（二）组织课程建设评价和中期检查；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（三）管理课程建设经费。</w:t>
      </w:r>
    </w:p>
    <w:p>
      <w:pPr>
        <w:spacing w:line="440" w:lineRule="exact"/>
        <w:ind w:firstLine="482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第五条</w:t>
      </w:r>
      <w:r>
        <w:rPr>
          <w:rFonts w:hint="eastAsia" w:ascii="仿宋_GB2312" w:hAnsi="仿宋" w:eastAsia="仿宋_GB2312" w:cs="仿宋"/>
          <w:sz w:val="24"/>
          <w:szCs w:val="24"/>
        </w:rPr>
        <w:t>　系科是落实课程建设的教学基层组织，其主要职责：</w:t>
      </w:r>
    </w:p>
    <w:p>
      <w:pPr>
        <w:spacing w:line="44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（一）根据学院精品课程建设规划，制定本系课程建设计划并推荐申报院级精品课程；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　　（二）积极支持与辅助本系立项建设的精品课程开展建设工作。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　　第六条</w:t>
      </w:r>
      <w:r>
        <w:rPr>
          <w:rFonts w:hint="eastAsia" w:ascii="仿宋_GB2312" w:hAnsi="仿宋" w:eastAsia="仿宋_GB2312" w:cs="仿宋"/>
          <w:sz w:val="24"/>
          <w:szCs w:val="24"/>
        </w:rPr>
        <w:t>　课程负责人是课程建设与管理的责任人。其主要职责是具体落实课程建设计划，完成建设任务，达到建设目标。</w:t>
      </w:r>
    </w:p>
    <w:p>
      <w:pPr>
        <w:spacing w:line="440" w:lineRule="exact"/>
        <w:ind w:left="142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第三章　课程立项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　　第七条</w:t>
      </w:r>
      <w:r>
        <w:rPr>
          <w:rFonts w:hint="eastAsia" w:ascii="仿宋_GB2312" w:hAnsi="仿宋" w:eastAsia="仿宋_GB2312" w:cs="仿宋"/>
          <w:sz w:val="24"/>
          <w:szCs w:val="24"/>
        </w:rPr>
        <w:t>　申报范围</w:t>
      </w:r>
    </w:p>
    <w:p>
      <w:pPr>
        <w:spacing w:line="44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精品课程建设主要面向通识教育课程和专业必修课程。  </w:t>
      </w:r>
    </w:p>
    <w:p>
      <w:pPr>
        <w:spacing w:line="440" w:lineRule="exact"/>
        <w:ind w:firstLine="482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第八条</w:t>
      </w:r>
      <w:r>
        <w:rPr>
          <w:rFonts w:hint="eastAsia" w:ascii="仿宋_GB2312" w:hAnsi="仿宋" w:eastAsia="仿宋_GB2312" w:cs="仿宋"/>
          <w:sz w:val="24"/>
          <w:szCs w:val="24"/>
        </w:rPr>
        <w:t>　申报条件</w:t>
      </w:r>
    </w:p>
    <w:p>
      <w:pPr>
        <w:spacing w:line="440" w:lineRule="exact"/>
        <w:ind w:firstLine="482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Style w:val="5"/>
          <w:rFonts w:hint="eastAsia" w:ascii="仿宋_GB2312" w:hAnsi="仿宋" w:eastAsia="仿宋_GB2312" w:cs="仿宋"/>
          <w:sz w:val="24"/>
          <w:szCs w:val="24"/>
        </w:rPr>
        <w:t>（一）</w:t>
      </w:r>
      <w:r>
        <w:rPr>
          <w:rFonts w:hint="eastAsia" w:ascii="仿宋_GB2312" w:hAnsi="仿宋" w:eastAsia="仿宋_GB2312" w:cs="仿宋"/>
          <w:sz w:val="24"/>
          <w:szCs w:val="24"/>
        </w:rPr>
        <w:t>申报课程必须是面向本科学生连续开设四年或四年以上的课程，该课程有完整、完备的教学资料（教学大纲、教学进度表和规范的教材、参考书及课件等）；</w:t>
      </w:r>
    </w:p>
    <w:p>
      <w:pPr>
        <w:spacing w:line="44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二）课程负责人须我院在岗教师；有5年或5年以上本科教学经验，独立承担本门课程教学工作不少于3年；具有中级及以上的专业技术职称，教学效果好；主持过院级及以上教改项目或在院级及以上教学竞赛中获奖；</w:t>
      </w:r>
    </w:p>
    <w:p>
      <w:pPr>
        <w:spacing w:line="44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（三）课程教学团队不少于3名。</w:t>
      </w:r>
    </w:p>
    <w:p>
      <w:pPr>
        <w:spacing w:line="440" w:lineRule="exact"/>
        <w:ind w:firstLine="482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第九条</w:t>
      </w:r>
      <w:r>
        <w:rPr>
          <w:rFonts w:hint="eastAsia" w:ascii="仿宋_GB2312" w:hAnsi="仿宋" w:eastAsia="仿宋_GB2312" w:cs="仿宋"/>
          <w:sz w:val="24"/>
          <w:szCs w:val="24"/>
        </w:rPr>
        <w:t>　立项程序</w:t>
      </w:r>
    </w:p>
    <w:p>
      <w:pPr>
        <w:spacing w:line="440" w:lineRule="exact"/>
        <w:ind w:firstLine="482" w:firstLineChars="200"/>
        <w:rPr>
          <w:rStyle w:val="5"/>
          <w:rFonts w:ascii="仿宋_GB2312" w:hAnsi="仿宋" w:eastAsia="仿宋_GB2312" w:cs="仿宋"/>
          <w:b w:val="0"/>
          <w:sz w:val="24"/>
          <w:szCs w:val="24"/>
        </w:rPr>
      </w:pPr>
      <w:r>
        <w:rPr>
          <w:rStyle w:val="5"/>
          <w:rFonts w:hint="eastAsia" w:ascii="仿宋_GB2312" w:hAnsi="仿宋" w:eastAsia="仿宋_GB2312" w:cs="仿宋"/>
          <w:sz w:val="24"/>
          <w:szCs w:val="24"/>
        </w:rPr>
        <w:t>（一）精品课程建设周期为三年；</w:t>
      </w:r>
    </w:p>
    <w:p>
      <w:pPr>
        <w:spacing w:line="440" w:lineRule="exact"/>
        <w:ind w:firstLine="482" w:firstLineChars="200"/>
        <w:rPr>
          <w:rStyle w:val="5"/>
          <w:rFonts w:ascii="仿宋_GB2312" w:hAnsi="仿宋" w:eastAsia="仿宋_GB2312" w:cs="仿宋"/>
          <w:b w:val="0"/>
          <w:sz w:val="24"/>
          <w:szCs w:val="24"/>
        </w:rPr>
      </w:pPr>
      <w:r>
        <w:rPr>
          <w:rStyle w:val="5"/>
          <w:rFonts w:hint="eastAsia" w:ascii="仿宋_GB2312" w:hAnsi="仿宋" w:eastAsia="仿宋_GB2312" w:cs="仿宋"/>
          <w:sz w:val="24"/>
          <w:szCs w:val="24"/>
        </w:rPr>
        <w:t>（二）课程负责人提出申请，并填写《苏州大学文正学院精品课程建设立项申请书》；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（三）系科初审并向学院推荐；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（四）学院组织评审，评审结果经公示后报院长办公会审批，同意后立项。</w:t>
      </w:r>
    </w:p>
    <w:p>
      <w:pPr>
        <w:spacing w:line="440" w:lineRule="exact"/>
        <w:ind w:firstLine="482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第十条</w:t>
      </w:r>
      <w:r>
        <w:rPr>
          <w:rFonts w:hint="eastAsia" w:ascii="仿宋_GB2312" w:hAnsi="仿宋" w:eastAsia="仿宋_GB2312" w:cs="仿宋"/>
          <w:sz w:val="24"/>
          <w:szCs w:val="24"/>
        </w:rPr>
        <w:t>　项目验收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（一）学院组织中期检查，对检查合格的课程，学院继续支持其建设工作；对检查不合格的课程停拨课程建设经费，取消其“院级精品课程”的荣誉称号，三年内不能重新申报“院级精品建设课程”；</w:t>
      </w:r>
    </w:p>
    <w:p>
      <w:pPr>
        <w:pStyle w:val="6"/>
        <w:spacing w:line="440" w:lineRule="exact"/>
        <w:ind w:firstLine="48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（二）院级精品课程在建设期满后均需接受学院验收评估。凡验收评估合格的，学院授予相应荣誉称号并颁发荣誉证书，验收不合格的，三年内不能申报“院级精品课程”。</w:t>
      </w:r>
    </w:p>
    <w:p>
      <w:pPr>
        <w:spacing w:line="440" w:lineRule="exact"/>
        <w:ind w:firstLine="482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第十一条</w:t>
      </w:r>
      <w:r>
        <w:rPr>
          <w:rFonts w:hint="eastAsia" w:ascii="仿宋_GB2312" w:hAnsi="仿宋" w:eastAsia="仿宋_GB2312" w:cs="仿宋"/>
          <w:sz w:val="24"/>
          <w:szCs w:val="24"/>
        </w:rPr>
        <w:t>　立项基金</w:t>
      </w:r>
    </w:p>
    <w:p>
      <w:pPr>
        <w:spacing w:line="44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（一）学院对立项建设的课程提供立项建设基金，每门课程3万元；</w:t>
      </w:r>
    </w:p>
    <w:p>
      <w:pPr>
        <w:spacing w:line="4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　　（二）课程建设专项基金由学院教务处统一管理，分阶段划拨各课程组，中期检查前划拨40%，中期检查后再划拨余款的40%，剩余20%作为通过验收后的奖励。课程负责人根据建设计划负责经费预算、经费支出审核；</w:t>
      </w:r>
    </w:p>
    <w:p>
      <w:pPr>
        <w:spacing w:line="44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三）课程建设经费主要用于：购置国内外有关教材、教学参考书、资料；制作课件；制作电子教案和课程上网及升级；建设试题库；编写教学大纲和其它教学文件；添制有关教具；参加国内有关课程建设的学术会议和短期进修、培训；课程建设所需的调研费；发表有关教学研究论文；交通费的支出（不得超过课程建设费总额的15%）等。</w:t>
      </w:r>
    </w:p>
    <w:p>
      <w:pPr>
        <w:spacing w:line="440" w:lineRule="exact"/>
        <w:ind w:left="142"/>
        <w:jc w:val="center"/>
        <w:rPr>
          <w:rFonts w:ascii="仿宋_GB2312" w:hAnsi="仿宋" w:eastAsia="仿宋_GB2312" w:cs="仿宋"/>
          <w:b/>
          <w:bCs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  <w:szCs w:val="24"/>
        </w:rPr>
        <w:t>第四章　附录</w:t>
      </w:r>
    </w:p>
    <w:p>
      <w:pPr>
        <w:spacing w:line="440" w:lineRule="exact"/>
        <w:ind w:firstLine="495"/>
        <w:rPr>
          <w:rFonts w:ascii="仿宋_GB2312" w:hAnsi="仿宋" w:eastAsia="仿宋_GB2312" w:cs="仿宋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kern w:val="0"/>
          <w:sz w:val="24"/>
          <w:szCs w:val="24"/>
        </w:rPr>
        <w:t>第十二条</w:t>
      </w:r>
      <w:r>
        <w:rPr>
          <w:rFonts w:hint="eastAsia" w:ascii="仿宋_GB2312" w:hAnsi="仿宋" w:eastAsia="仿宋_GB2312" w:cs="仿宋"/>
          <w:kern w:val="0"/>
          <w:sz w:val="24"/>
          <w:szCs w:val="24"/>
        </w:rPr>
        <w:t>　本办法自2017年9月1日起施行，由教务处负责解释。</w:t>
      </w:r>
    </w:p>
    <w:p>
      <w:pPr>
        <w:spacing w:line="440" w:lineRule="exact"/>
        <w:ind w:firstLine="495"/>
        <w:rPr>
          <w:rFonts w:ascii="仿宋_GB2312" w:hAnsi="仿宋" w:eastAsia="仿宋_GB2312" w:cs="仿宋"/>
          <w:kern w:val="0"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D26A4"/>
    <w:rsid w:val="478D2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40" w:beforeLines="100" w:after="240" w:afterLines="100" w:line="360" w:lineRule="auto"/>
      <w:jc w:val="center"/>
      <w:outlineLvl w:val="1"/>
    </w:pPr>
    <w:rPr>
      <w:rFonts w:ascii="仿宋_GB2312" w:hAnsi="仿宋" w:eastAsia="仿宋_GB2312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rFonts w:cs="Times New Roman"/>
      <w:b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2020-12-10T07:06:00Z</dcterms:created>
  <dc:creator>钱多多</dc:creator>
  <cp:lastModifiedBy>钱多多</cp:lastModifiedBy>
  <dcterms:modified xsi:type="dcterms:W3CDTF">2020-12-10T07:06:50Z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